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20</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1</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六十、霸州市东杨庄乡下段完全小学收支预算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287.37</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287.37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287.37</w:t>
            </w:r>
          </w:p>
        </w:tc>
        <w:tc>
          <w:tcPr>
            <w:tcW w:w="4535" w:type="dxa"/>
            <w:vAlign w:val="center"/>
          </w:tcPr>
          <w:p>
            <w:pPr>
              <w:pStyle w:val="24"/>
            </w:pPr>
            <w:r>
              <w:t>本年支出合计</w:t>
            </w:r>
          </w:p>
        </w:tc>
        <w:tc>
          <w:tcPr>
            <w:tcW w:w="2126" w:type="dxa"/>
            <w:vAlign w:val="center"/>
          </w:tcPr>
          <w:p>
            <w:pPr>
              <w:pStyle w:val="25"/>
            </w:pPr>
            <w:r>
              <w:t>287.37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287.37</w:t>
            </w:r>
          </w:p>
        </w:tc>
        <w:tc>
          <w:tcPr>
            <w:tcW w:w="4535" w:type="dxa"/>
            <w:vAlign w:val="center"/>
          </w:tcPr>
          <w:p>
            <w:pPr>
              <w:pStyle w:val="24"/>
            </w:pPr>
            <w:r>
              <w:t>支出总计</w:t>
            </w:r>
          </w:p>
        </w:tc>
        <w:tc>
          <w:tcPr>
            <w:tcW w:w="2126" w:type="dxa"/>
            <w:vAlign w:val="center"/>
          </w:tcPr>
          <w:p>
            <w:pPr>
              <w:pStyle w:val="25"/>
            </w:pPr>
            <w:r>
              <w:t>287.37</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287.37</w:t>
            </w:r>
          </w:p>
        </w:tc>
        <w:tc>
          <w:tcPr>
            <w:tcW w:w="1134" w:type="dxa"/>
            <w:vAlign w:val="center"/>
          </w:tcPr>
          <w:p>
            <w:pPr>
              <w:pStyle w:val="25"/>
            </w:pPr>
            <w:r>
              <w:t>287.37</w:t>
            </w:r>
          </w:p>
        </w:tc>
        <w:tc>
          <w:tcPr>
            <w:tcW w:w="1134" w:type="dxa"/>
            <w:vAlign w:val="center"/>
          </w:tcPr>
          <w:p>
            <w:pPr>
              <w:pStyle w:val="25"/>
            </w:pPr>
            <w:r>
              <w:t>287.37</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287.37</w:t>
            </w:r>
          </w:p>
        </w:tc>
        <w:tc>
          <w:tcPr>
            <w:tcW w:w="1134" w:type="dxa"/>
            <w:vAlign w:val="center"/>
          </w:tcPr>
          <w:p>
            <w:pPr>
              <w:pStyle w:val="21"/>
            </w:pPr>
            <w:r>
              <w:t>287.37</w:t>
            </w:r>
          </w:p>
        </w:tc>
        <w:tc>
          <w:tcPr>
            <w:tcW w:w="1134" w:type="dxa"/>
            <w:vAlign w:val="center"/>
          </w:tcPr>
          <w:p>
            <w:pPr>
              <w:pStyle w:val="21"/>
            </w:pPr>
            <w:r>
              <w:t>287.37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287.37</w:t>
            </w:r>
          </w:p>
        </w:tc>
        <w:tc>
          <w:tcPr>
            <w:tcW w:w="1134" w:type="dxa"/>
            <w:vAlign w:val="center"/>
          </w:tcPr>
          <w:p>
            <w:pPr>
              <w:pStyle w:val="21"/>
            </w:pPr>
            <w:r>
              <w:t>287.37</w:t>
            </w:r>
          </w:p>
        </w:tc>
        <w:tc>
          <w:tcPr>
            <w:tcW w:w="1134" w:type="dxa"/>
            <w:vAlign w:val="center"/>
          </w:tcPr>
          <w:p>
            <w:pPr>
              <w:pStyle w:val="21"/>
            </w:pPr>
            <w:r>
              <w:t>287.37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287.37</w:t>
            </w:r>
          </w:p>
        </w:tc>
        <w:tc>
          <w:tcPr>
            <w:tcW w:w="1134" w:type="dxa"/>
            <w:vAlign w:val="center"/>
          </w:tcPr>
          <w:p>
            <w:pPr>
              <w:pStyle w:val="21"/>
            </w:pPr>
            <w:r>
              <w:t>287.37</w:t>
            </w:r>
          </w:p>
        </w:tc>
        <w:tc>
          <w:tcPr>
            <w:tcW w:w="1134" w:type="dxa"/>
            <w:vAlign w:val="center"/>
          </w:tcPr>
          <w:p>
            <w:pPr>
              <w:pStyle w:val="21"/>
            </w:pPr>
            <w:r>
              <w:t>287.37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287.37</w:t>
            </w:r>
          </w:p>
        </w:tc>
        <w:tc>
          <w:tcPr>
            <w:tcW w:w="1361" w:type="dxa"/>
            <w:vAlign w:val="center"/>
          </w:tcPr>
          <w:p>
            <w:pPr>
              <w:pStyle w:val="25"/>
            </w:pPr>
            <w:r>
              <w:t>271.24</w:t>
            </w:r>
          </w:p>
        </w:tc>
        <w:tc>
          <w:tcPr>
            <w:tcW w:w="1361" w:type="dxa"/>
            <w:vAlign w:val="center"/>
          </w:tcPr>
          <w:p>
            <w:pPr>
              <w:pStyle w:val="25"/>
            </w:pPr>
            <w:r>
              <w:t>16.13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287.37</w:t>
            </w:r>
          </w:p>
        </w:tc>
        <w:tc>
          <w:tcPr>
            <w:tcW w:w="1361" w:type="dxa"/>
            <w:vAlign w:val="center"/>
          </w:tcPr>
          <w:p>
            <w:pPr>
              <w:pStyle w:val="21"/>
            </w:pPr>
            <w:r>
              <w:t>271.24</w:t>
            </w:r>
          </w:p>
        </w:tc>
        <w:tc>
          <w:tcPr>
            <w:tcW w:w="1361" w:type="dxa"/>
            <w:vAlign w:val="center"/>
          </w:tcPr>
          <w:p>
            <w:pPr>
              <w:pStyle w:val="21"/>
            </w:pPr>
            <w:r>
              <w:t>16.13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287.37</w:t>
            </w:r>
          </w:p>
        </w:tc>
        <w:tc>
          <w:tcPr>
            <w:tcW w:w="1361" w:type="dxa"/>
            <w:vAlign w:val="center"/>
          </w:tcPr>
          <w:p>
            <w:pPr>
              <w:pStyle w:val="21"/>
            </w:pPr>
            <w:r>
              <w:t>271.24</w:t>
            </w:r>
          </w:p>
        </w:tc>
        <w:tc>
          <w:tcPr>
            <w:tcW w:w="1361" w:type="dxa"/>
            <w:vAlign w:val="center"/>
          </w:tcPr>
          <w:p>
            <w:pPr>
              <w:pStyle w:val="21"/>
            </w:pPr>
            <w:r>
              <w:t>16.13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287.37</w:t>
            </w:r>
          </w:p>
        </w:tc>
        <w:tc>
          <w:tcPr>
            <w:tcW w:w="1361" w:type="dxa"/>
            <w:vAlign w:val="center"/>
          </w:tcPr>
          <w:p>
            <w:pPr>
              <w:pStyle w:val="21"/>
            </w:pPr>
            <w:r>
              <w:t>271.24</w:t>
            </w:r>
          </w:p>
        </w:tc>
        <w:tc>
          <w:tcPr>
            <w:tcW w:w="1361" w:type="dxa"/>
            <w:vAlign w:val="center"/>
          </w:tcPr>
          <w:p>
            <w:pPr>
              <w:pStyle w:val="21"/>
            </w:pPr>
            <w:r>
              <w:t>16.13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287.37</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287.37</w:t>
            </w:r>
          </w:p>
        </w:tc>
        <w:tc>
          <w:tcPr>
            <w:tcW w:w="1474" w:type="dxa"/>
            <w:vAlign w:val="center"/>
          </w:tcPr>
          <w:p>
            <w:pPr>
              <w:pStyle w:val="21"/>
            </w:pPr>
            <w:r>
              <w:t>287.37</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287.37</w:t>
            </w:r>
          </w:p>
        </w:tc>
        <w:tc>
          <w:tcPr>
            <w:tcW w:w="3402" w:type="dxa"/>
            <w:vAlign w:val="center"/>
          </w:tcPr>
          <w:p>
            <w:pPr>
              <w:pStyle w:val="24"/>
            </w:pPr>
            <w:r>
              <w:t>本年支出合计</w:t>
            </w:r>
          </w:p>
        </w:tc>
        <w:tc>
          <w:tcPr>
            <w:tcW w:w="1474" w:type="dxa"/>
            <w:vAlign w:val="center"/>
          </w:tcPr>
          <w:p>
            <w:pPr>
              <w:pStyle w:val="25"/>
            </w:pPr>
            <w:r>
              <w:t>287.37</w:t>
            </w:r>
          </w:p>
        </w:tc>
        <w:tc>
          <w:tcPr>
            <w:tcW w:w="1474" w:type="dxa"/>
            <w:vAlign w:val="center"/>
          </w:tcPr>
          <w:p>
            <w:pPr>
              <w:pStyle w:val="25"/>
            </w:pPr>
            <w:r>
              <w:t>287.37</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287.37</w:t>
            </w:r>
          </w:p>
        </w:tc>
        <w:tc>
          <w:tcPr>
            <w:tcW w:w="3402" w:type="dxa"/>
            <w:vAlign w:val="center"/>
          </w:tcPr>
          <w:p>
            <w:pPr>
              <w:pStyle w:val="24"/>
            </w:pPr>
            <w:r>
              <w:t>支出总计</w:t>
            </w:r>
          </w:p>
        </w:tc>
        <w:tc>
          <w:tcPr>
            <w:tcW w:w="1474" w:type="dxa"/>
            <w:vAlign w:val="center"/>
          </w:tcPr>
          <w:p>
            <w:pPr>
              <w:pStyle w:val="25"/>
            </w:pPr>
            <w:r>
              <w:t>287.37</w:t>
            </w:r>
          </w:p>
        </w:tc>
        <w:tc>
          <w:tcPr>
            <w:tcW w:w="1474" w:type="dxa"/>
            <w:vAlign w:val="center"/>
          </w:tcPr>
          <w:p>
            <w:pPr>
              <w:pStyle w:val="25"/>
            </w:pPr>
            <w:r>
              <w:t>287.37</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287.37</w:t>
            </w:r>
          </w:p>
        </w:tc>
        <w:tc>
          <w:tcPr>
            <w:tcW w:w="2551" w:type="dxa"/>
            <w:vAlign w:val="center"/>
          </w:tcPr>
          <w:p>
            <w:pPr>
              <w:pStyle w:val="25"/>
            </w:pPr>
            <w:r>
              <w:t>271.24</w:t>
            </w:r>
          </w:p>
        </w:tc>
        <w:tc>
          <w:tcPr>
            <w:tcW w:w="2551" w:type="dxa"/>
            <w:vAlign w:val="center"/>
          </w:tcPr>
          <w:p>
            <w:pPr>
              <w:pStyle w:val="25"/>
            </w:pPr>
            <w:r>
              <w:t>16.13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287.37</w:t>
            </w:r>
          </w:p>
        </w:tc>
        <w:tc>
          <w:tcPr>
            <w:tcW w:w="2551" w:type="dxa"/>
            <w:vAlign w:val="center"/>
          </w:tcPr>
          <w:p>
            <w:pPr>
              <w:pStyle w:val="21"/>
            </w:pPr>
            <w:r>
              <w:t>271.24</w:t>
            </w:r>
          </w:p>
        </w:tc>
        <w:tc>
          <w:tcPr>
            <w:tcW w:w="2551" w:type="dxa"/>
            <w:vAlign w:val="center"/>
          </w:tcPr>
          <w:p>
            <w:pPr>
              <w:pStyle w:val="21"/>
            </w:pPr>
            <w:r>
              <w:t>16.13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287.37</w:t>
            </w:r>
          </w:p>
        </w:tc>
        <w:tc>
          <w:tcPr>
            <w:tcW w:w="2551" w:type="dxa"/>
            <w:vAlign w:val="center"/>
          </w:tcPr>
          <w:p>
            <w:pPr>
              <w:pStyle w:val="21"/>
            </w:pPr>
            <w:r>
              <w:t>271.24</w:t>
            </w:r>
          </w:p>
        </w:tc>
        <w:tc>
          <w:tcPr>
            <w:tcW w:w="2551" w:type="dxa"/>
            <w:vAlign w:val="center"/>
          </w:tcPr>
          <w:p>
            <w:pPr>
              <w:pStyle w:val="21"/>
            </w:pPr>
            <w:r>
              <w:t>16.13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287.37</w:t>
            </w:r>
          </w:p>
        </w:tc>
        <w:tc>
          <w:tcPr>
            <w:tcW w:w="2551" w:type="dxa"/>
            <w:vAlign w:val="center"/>
          </w:tcPr>
          <w:p>
            <w:pPr>
              <w:pStyle w:val="21"/>
            </w:pPr>
            <w:r>
              <w:t>271.24</w:t>
            </w:r>
          </w:p>
        </w:tc>
        <w:tc>
          <w:tcPr>
            <w:tcW w:w="2551" w:type="dxa"/>
            <w:vAlign w:val="center"/>
          </w:tcPr>
          <w:p>
            <w:pPr>
              <w:pStyle w:val="21"/>
            </w:pPr>
            <w:r>
              <w:t>16.13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271.24</w:t>
            </w:r>
          </w:p>
        </w:tc>
        <w:tc>
          <w:tcPr>
            <w:tcW w:w="2551" w:type="dxa"/>
            <w:vAlign w:val="center"/>
          </w:tcPr>
          <w:p>
            <w:pPr>
              <w:pStyle w:val="25"/>
            </w:pPr>
            <w:r>
              <w:t>267.02</w:t>
            </w:r>
          </w:p>
        </w:tc>
        <w:tc>
          <w:tcPr>
            <w:tcW w:w="2551" w:type="dxa"/>
            <w:vAlign w:val="center"/>
          </w:tcPr>
          <w:p>
            <w:pPr>
              <w:pStyle w:val="25"/>
            </w:pPr>
            <w:r>
              <w:t>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244.39</w:t>
            </w:r>
          </w:p>
        </w:tc>
        <w:tc>
          <w:tcPr>
            <w:tcW w:w="2551" w:type="dxa"/>
            <w:vAlign w:val="center"/>
          </w:tcPr>
          <w:p>
            <w:pPr>
              <w:pStyle w:val="21"/>
            </w:pPr>
            <w:r>
              <w:t>244.39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68.65</w:t>
            </w:r>
          </w:p>
        </w:tc>
        <w:tc>
          <w:tcPr>
            <w:tcW w:w="2551" w:type="dxa"/>
            <w:vAlign w:val="center"/>
          </w:tcPr>
          <w:p>
            <w:pPr>
              <w:pStyle w:val="21"/>
            </w:pPr>
            <w:r>
              <w:t>68.65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14.72</w:t>
            </w:r>
          </w:p>
        </w:tc>
        <w:tc>
          <w:tcPr>
            <w:tcW w:w="2551" w:type="dxa"/>
            <w:vAlign w:val="center"/>
          </w:tcPr>
          <w:p>
            <w:pPr>
              <w:pStyle w:val="21"/>
            </w:pPr>
            <w:r>
              <w:t>14.72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85.34</w:t>
            </w:r>
          </w:p>
        </w:tc>
        <w:tc>
          <w:tcPr>
            <w:tcW w:w="2551" w:type="dxa"/>
            <w:vAlign w:val="center"/>
          </w:tcPr>
          <w:p>
            <w:pPr>
              <w:pStyle w:val="21"/>
            </w:pPr>
            <w:r>
              <w:t>85.34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21.25</w:t>
            </w:r>
          </w:p>
        </w:tc>
        <w:tc>
          <w:tcPr>
            <w:tcW w:w="2551" w:type="dxa"/>
            <w:vAlign w:val="center"/>
          </w:tcPr>
          <w:p>
            <w:pPr>
              <w:pStyle w:val="21"/>
            </w:pPr>
            <w:r>
              <w:t>21.25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6.08</w:t>
            </w:r>
          </w:p>
        </w:tc>
        <w:tc>
          <w:tcPr>
            <w:tcW w:w="2551" w:type="dxa"/>
            <w:vAlign w:val="center"/>
          </w:tcPr>
          <w:p>
            <w:pPr>
              <w:pStyle w:val="21"/>
            </w:pPr>
            <w:r>
              <w:t>6.08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1.52</w:t>
            </w:r>
          </w:p>
        </w:tc>
        <w:tc>
          <w:tcPr>
            <w:tcW w:w="2551" w:type="dxa"/>
            <w:vAlign w:val="center"/>
          </w:tcPr>
          <w:p>
            <w:pPr>
              <w:pStyle w:val="21"/>
            </w:pPr>
            <w:r>
              <w:t>1.52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17.23</w:t>
            </w:r>
          </w:p>
        </w:tc>
        <w:tc>
          <w:tcPr>
            <w:tcW w:w="2551" w:type="dxa"/>
            <w:vAlign w:val="center"/>
          </w:tcPr>
          <w:p>
            <w:pPr>
              <w:pStyle w:val="21"/>
            </w:pPr>
            <w:r>
              <w:t>17.23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29.60</w:t>
            </w:r>
          </w:p>
        </w:tc>
        <w:tc>
          <w:tcPr>
            <w:tcW w:w="2551" w:type="dxa"/>
            <w:vAlign w:val="center"/>
          </w:tcPr>
          <w:p>
            <w:pPr>
              <w:pStyle w:val="21"/>
            </w:pPr>
            <w:r>
              <w:t>29.60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4.22</w:t>
            </w:r>
          </w:p>
        </w:tc>
        <w:tc>
          <w:tcPr>
            <w:tcW w:w="2551" w:type="dxa"/>
            <w:vAlign w:val="center"/>
          </w:tcPr>
          <w:p>
            <w:pPr>
              <w:pStyle w:val="21"/>
            </w:pPr>
          </w:p>
        </w:tc>
        <w:tc>
          <w:tcPr>
            <w:tcW w:w="2551" w:type="dxa"/>
            <w:vAlign w:val="center"/>
          </w:tcPr>
          <w:p>
            <w:pPr>
              <w:pStyle w:val="21"/>
            </w:pPr>
            <w:r>
              <w:t>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2.43</w:t>
            </w:r>
          </w:p>
        </w:tc>
        <w:tc>
          <w:tcPr>
            <w:tcW w:w="2551" w:type="dxa"/>
            <w:vAlign w:val="center"/>
          </w:tcPr>
          <w:p>
            <w:pPr>
              <w:pStyle w:val="21"/>
            </w:pPr>
          </w:p>
        </w:tc>
        <w:tc>
          <w:tcPr>
            <w:tcW w:w="2551" w:type="dxa"/>
            <w:vAlign w:val="center"/>
          </w:tcPr>
          <w:p>
            <w:pPr>
              <w:pStyle w:val="21"/>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1.79</w:t>
            </w:r>
          </w:p>
        </w:tc>
        <w:tc>
          <w:tcPr>
            <w:tcW w:w="2551" w:type="dxa"/>
            <w:vAlign w:val="center"/>
          </w:tcPr>
          <w:p>
            <w:pPr>
              <w:pStyle w:val="21"/>
            </w:pPr>
          </w:p>
        </w:tc>
        <w:tc>
          <w:tcPr>
            <w:tcW w:w="2551" w:type="dxa"/>
            <w:vAlign w:val="center"/>
          </w:tcPr>
          <w:p>
            <w:pPr>
              <w:pStyle w:val="21"/>
            </w:pPr>
            <w:r>
              <w:t>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22.63</w:t>
            </w:r>
          </w:p>
        </w:tc>
        <w:tc>
          <w:tcPr>
            <w:tcW w:w="2551" w:type="dxa"/>
            <w:vAlign w:val="center"/>
          </w:tcPr>
          <w:p>
            <w:pPr>
              <w:pStyle w:val="21"/>
            </w:pPr>
            <w:r>
              <w:t>22.63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9.61</w:t>
            </w:r>
          </w:p>
        </w:tc>
        <w:tc>
          <w:tcPr>
            <w:tcW w:w="2551" w:type="dxa"/>
            <w:vAlign w:val="center"/>
          </w:tcPr>
          <w:p>
            <w:pPr>
              <w:pStyle w:val="21"/>
            </w:pPr>
            <w:r>
              <w:t>9.61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13.01</w:t>
            </w:r>
          </w:p>
        </w:tc>
        <w:tc>
          <w:tcPr>
            <w:tcW w:w="2551" w:type="dxa"/>
            <w:vAlign w:val="center"/>
          </w:tcPr>
          <w:p>
            <w:pPr>
              <w:pStyle w:val="21"/>
            </w:pPr>
            <w:r>
              <w:t>13.01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0.01</w:t>
            </w:r>
          </w:p>
        </w:tc>
        <w:tc>
          <w:tcPr>
            <w:tcW w:w="2551" w:type="dxa"/>
            <w:vAlign w:val="center"/>
          </w:tcPr>
          <w:p>
            <w:pPr>
              <w:pStyle w:val="21"/>
            </w:pPr>
            <w:r>
              <w:t>0.01</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霸州市东杨庄乡下段完全小学2023年单位预算信息公开情况说明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按照《预算法》、《地方预决算公开操作规程》和《关于进一步推进预算公开工作的实施意见》规定，现将霸州市东杨庄乡下段完全小学2023年单位预算公开如下：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widowControl w:val="0"/>
        <w:spacing w:line="500" w:lineRule="exact"/>
        <w:ind w:firstLine="560"/>
        <w:jc w:val="both"/>
        <w:rPr>
          <w:rFonts w:hint="default" w:eastAsia="方正仿宋_GBK" w:asciiTheme="minorHAnsi" w:hAnsiTheme="minorHAnsi" w:cstheme="minorBidi"/>
          <w:kern w:val="2"/>
          <w:sz w:val="28"/>
          <w:szCs w:val="22"/>
          <w:lang w:val="en-US" w:eastAsia="zh-CN"/>
        </w:rPr>
      </w:pPr>
      <w:r>
        <w:rPr>
          <w:rFonts w:hint="eastAsia" w:eastAsia="方正仿宋_GBK" w:asciiTheme="minorHAnsi" w:hAnsiTheme="minorHAnsi" w:cstheme="minorBidi"/>
          <w:kern w:val="2"/>
          <w:sz w:val="28"/>
          <w:szCs w:val="22"/>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霸州市东杨庄乡下段完全小学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287.37</w:t>
      </w:r>
      <w:r>
        <w:rPr>
          <w:rFonts w:hint="eastAsia" w:ascii="方正仿宋_GBK"/>
        </w:rPr>
        <w:t>万元，其中：一般公共预算收入</w:t>
      </w:r>
      <w:r>
        <w:rPr>
          <w:rFonts w:hint="eastAsia" w:ascii="方正仿宋_GBK"/>
          <w:lang w:val="en-US" w:eastAsia="zh-CN"/>
        </w:rPr>
        <w:t>287.37</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东杨庄乡下段完全小学</w:t>
      </w:r>
      <w:r>
        <w:rPr>
          <w:rFonts w:hint="eastAsia" w:ascii="方正仿宋_GBK"/>
        </w:rPr>
        <w:t>单位2023年度单位预算中支出预算的总体情况。2023年支出预算</w:t>
      </w:r>
      <w:r>
        <w:rPr>
          <w:rFonts w:hint="eastAsia" w:ascii="方正仿宋_GBK"/>
          <w:lang w:val="en-US" w:eastAsia="zh-CN"/>
        </w:rPr>
        <w:t>287.37</w:t>
      </w:r>
      <w:r>
        <w:rPr>
          <w:rFonts w:hint="eastAsia" w:ascii="方正仿宋_GBK"/>
        </w:rPr>
        <w:t>万元，其中：基本支出</w:t>
      </w:r>
      <w:r>
        <w:rPr>
          <w:rFonts w:hint="eastAsia" w:ascii="方正仿宋_GBK"/>
          <w:lang w:val="en-US" w:eastAsia="zh-CN"/>
        </w:rPr>
        <w:t>271.24</w:t>
      </w:r>
      <w:r>
        <w:rPr>
          <w:rFonts w:hint="eastAsia" w:ascii="方正仿宋_GBK"/>
        </w:rPr>
        <w:t>万元，包括人员经费</w:t>
      </w:r>
      <w:r>
        <w:rPr>
          <w:rFonts w:hint="eastAsia" w:ascii="方正仿宋_GBK"/>
          <w:lang w:val="en-US" w:eastAsia="zh-CN"/>
        </w:rPr>
        <w:t>267.02</w:t>
      </w:r>
      <w:r>
        <w:rPr>
          <w:rFonts w:hint="eastAsia" w:ascii="方正仿宋_GBK"/>
        </w:rPr>
        <w:t>万元和日常公用经费</w:t>
      </w:r>
      <w:r>
        <w:rPr>
          <w:rFonts w:hint="eastAsia" w:ascii="方正仿宋_GBK"/>
          <w:lang w:val="en-US" w:eastAsia="zh-CN"/>
        </w:rPr>
        <w:t>4.22</w:t>
      </w:r>
      <w:r>
        <w:rPr>
          <w:rFonts w:hint="eastAsia" w:ascii="方正仿宋_GBK"/>
        </w:rPr>
        <w:t>万元；项目支出</w:t>
      </w:r>
      <w:r>
        <w:rPr>
          <w:rFonts w:hint="eastAsia" w:ascii="方正仿宋_GBK"/>
          <w:lang w:val="en-US" w:eastAsia="zh-CN"/>
        </w:rPr>
        <w:t>16.13</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267.02</w:t>
      </w:r>
      <w:r>
        <w:rPr>
          <w:rFonts w:hint="eastAsia" w:ascii="方正仿宋_GBK"/>
        </w:rPr>
        <w:t>万元，较2022年预算增加</w:t>
      </w:r>
      <w:r>
        <w:rPr>
          <w:rFonts w:hint="eastAsia" w:ascii="方正仿宋_GBK"/>
          <w:lang w:val="en-US" w:eastAsia="zh-CN"/>
        </w:rPr>
        <w:t>13.58</w:t>
      </w:r>
      <w:r>
        <w:rPr>
          <w:rFonts w:hint="eastAsia" w:ascii="方正仿宋_GBK"/>
        </w:rPr>
        <w:t>万元，其中：基本支出增加</w:t>
      </w:r>
      <w:r>
        <w:rPr>
          <w:rFonts w:hint="eastAsia" w:ascii="方正仿宋_GBK"/>
          <w:lang w:val="en-US" w:eastAsia="zh-CN"/>
        </w:rPr>
        <w:t>35.65</w:t>
      </w:r>
      <w:r>
        <w:rPr>
          <w:rFonts w:hint="eastAsia" w:ascii="方正仿宋_GBK"/>
        </w:rPr>
        <w:t>万元，主要为</w:t>
      </w:r>
      <w:r>
        <w:rPr>
          <w:rFonts w:hint="eastAsia" w:ascii="方正仿宋_GBK"/>
          <w:lang w:val="en-US" w:eastAsia="zh-CN"/>
        </w:rPr>
        <w:t>日常经费</w:t>
      </w:r>
      <w:r>
        <w:rPr>
          <w:rFonts w:hint="eastAsia" w:ascii="方正仿宋_GBK"/>
        </w:rPr>
        <w:t>支出；项目支出增或减少</w:t>
      </w:r>
      <w:r>
        <w:rPr>
          <w:rFonts w:hint="eastAsia" w:ascii="方正仿宋_GBK"/>
          <w:lang w:val="en-US" w:eastAsia="zh-CN"/>
        </w:rPr>
        <w:t>1.72</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267.02</w:t>
      </w:r>
      <w:r>
        <w:rPr>
          <w:rFonts w:hint="eastAsia" w:ascii="方正仿宋_GBK"/>
        </w:rPr>
        <w:t>万元，主要用于</w:t>
      </w:r>
      <w:r>
        <w:rPr>
          <w:rFonts w:hint="eastAsia" w:ascii="方正仿宋_GBK"/>
          <w:lang w:val="en-US" w:eastAsia="zh-CN"/>
        </w:rPr>
        <w:t>办公区的日常维修、办公用房水电费、办公用房取暖费、办公费、福利费、工会经费、物业管理费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2023年，霸州市东杨庄乡下段完全小学安排政府采购预算0.00万元。具体内容见下表。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霸州市东杨庄乡下段完全小学上年末固定资产金额为0.00万元（详见下表）。本年度拟购置固定资产总额为0.00万元，已按要求列入政府采购预算，详见政府采购预算表。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501554霸州市东杨庄乡下段完全小学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资产总额</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w:t>
            </w:r>
          </w:p>
        </w:tc>
        <w:tc>
          <w:tcPr>
            <w:tcW w:w="2835" w:type="dxa"/>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92.89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1、房屋（平方米）</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其中：办公用房（平方米）</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2、车辆（台、辆）</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3、单价在20万元以上的设备</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4、其他固定资产</w:t>
            </w:r>
          </w:p>
        </w:tc>
        <w:tc>
          <w:tcPr>
            <w:tcW w:w="2835" w:type="dxa"/>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408</w:t>
            </w:r>
          </w:p>
        </w:tc>
        <w:tc>
          <w:tcPr>
            <w:tcW w:w="2835" w:type="dxa"/>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92.89</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cde85c1b-15f7-4f57-96a4-1531a0acaf94"/>
  </w:docVars>
  <w:rsids>
    <w:rsidRoot w:val="004A1168"/>
    <w:rsid w:val="00012A57"/>
    <w:rsid w:val="000B7353"/>
    <w:rsid w:val="00135B21"/>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3C2031D7"/>
    <w:rsid w:val="6C601167"/>
    <w:rsid w:val="79EB7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24</Pages>
  <Words>5647</Words>
  <Characters>6474</Characters>
  <Lines>66</Lines>
  <Paragraphs>18</Paragraphs>
  <TotalTime>1</TotalTime>
  <ScaleCrop>false</ScaleCrop>
  <LinksUpToDate>false</LinksUpToDate>
  <CharactersWithSpaces>6617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2023-02-28T08:56:28Z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8545CA4879464C659A8EBCD7BF52C6B2</vt:lpwstr>
  </property>
</Properties>
</file>